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2400"/>
      </w:pPr>
    </w:p>
    <w:p>
      <w:pPr>
        <w:spacing w:after="80"/>
      </w:pPr>
      <w:r>
        <w:rPr>
          <w:rFonts w:ascii="Arial" w:cs="Arial" w:eastAsia="Arial" w:hAnsi="Arial"/>
          <w:b/>
          <w:bCs/>
          <w:caps/>
          <w:color w:val="312E81"/>
          <w:sz w:val="22"/>
          <w:szCs w:val="22"/>
        </w:rPr>
        <w:t xml:space="preserve">CREATIVE FOUNDRY CO.</w:t>
      </w:r>
    </w:p>
    <w:p>
      <w:pPr>
        <w:spacing w:after="40"/>
      </w:pPr>
      <w:r>
        <w:rPr>
          <w:rFonts w:ascii="Arial" w:cs="Arial" w:eastAsia="Arial" w:hAnsi="Arial"/>
          <w:color w:val="94A3B8"/>
          <w:sz w:val="18"/>
          <w:szCs w:val="18"/>
        </w:rPr>
        <w:t xml:space="preserve">Revenue Operations Advisory</w:t>
      </w:r>
    </w:p>
    <w:p>
      <w:pPr>
        <w:pBdr>
          <w:bottom w:val="single" w:color="312E81" w:sz="6" w:space="1"/>
        </w:pBdr>
        <w:spacing w:after="200" w:before="200"/>
      </w:pPr>
    </w:p>
    <w:p>
      <w:pPr>
        <w:spacing w:after="120" w:before="200"/>
      </w:pPr>
      <w:r>
        <w:rPr>
          <w:rFonts w:ascii="Arial" w:cs="Arial" w:eastAsia="Arial" w:hAnsi="Arial"/>
          <w:b/>
          <w:bCs/>
          <w:color w:val="0F172A"/>
          <w:sz w:val="52"/>
          <w:szCs w:val="52"/>
        </w:rPr>
        <w:t xml:space="preserve">People, Process &amp; Technology</w:t>
      </w:r>
    </w:p>
    <w:p>
      <w:pPr>
        <w:spacing w:after="40"/>
      </w:pPr>
      <w:r>
        <w:rPr>
          <w:rFonts w:ascii="Arial" w:cs="Arial" w:eastAsia="Arial" w:hAnsi="Arial"/>
          <w:color w:val="4338CA"/>
          <w:sz w:val="44"/>
          <w:szCs w:val="44"/>
        </w:rPr>
        <w:t xml:space="preserve">Revenue Operations Audit</w:t>
      </w:r>
    </w:p>
    <w:p>
      <w:pPr>
        <w:spacing w:before="400"/>
      </w:pPr>
    </w:p>
    <w:tbl>
      <w:tblPr>
        <w:tblW w:type="dxa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3200"/>
      </w:tblGrid>
      <w:tr>
        <w:tc>
          <w:tcPr>
            <w:tcW w:type="dxa" w:w="18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F172A"/>
                <w:sz w:val="20"/>
                <w:szCs w:val="20"/>
              </w:rPr>
              <w:t xml:space="preserve">Company:</w:t>
            </w:r>
          </w:p>
        </w:tc>
        <w:tc>
          <w:tcPr>
            <w:tcW w:type="dxa" w:w="32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F172A"/>
                <w:sz w:val="20"/>
                <w:szCs w:val="20"/>
              </w:rPr>
              <w:t xml:space="preserve">Completed By:</w:t>
            </w:r>
          </w:p>
        </w:tc>
        <w:tc>
          <w:tcPr>
            <w:tcW w:type="dxa" w:w="32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F172A"/>
                <w:sz w:val="20"/>
                <w:szCs w:val="20"/>
              </w:rPr>
              <w:t xml:space="preserve">Date:</w:t>
            </w:r>
          </w:p>
        </w:tc>
        <w:tc>
          <w:tcPr>
            <w:tcW w:type="dxa" w:w="32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20"/>
                <w:szCs w:val="20"/>
              </w:rPr>
              <w:t xml:space="preserve"/>
            </w:r>
          </w:p>
        </w:tc>
      </w:tr>
      <w:tr>
        <w:tc>
          <w:tcPr>
            <w:tcW w:type="dxa" w:w="18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F172A"/>
                <w:sz w:val="20"/>
                <w:szCs w:val="20"/>
              </w:rPr>
              <w:t xml:space="preserve">Scope:</w:t>
            </w:r>
          </w:p>
        </w:tc>
        <w:tc>
          <w:tcPr>
            <w:tcW w:type="dxa" w:w="3200"/>
            <w:tcBorders>
              <w:top w:val="none"/>
              <w:left w:val="none"/>
              <w:bottom w:val="single" w:color="E2E8F0" w:sz="1"/>
              <w:right w:val="none"/>
            </w:tcBorders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20"/>
                <w:szCs w:val="20"/>
              </w:rPr>
              <w:t xml:space="preserve"/>
            </w:r>
          </w:p>
        </w:tc>
      </w:tr>
    </w:tbl>
    <w:p>
      <w:pPr>
        <w:spacing w:before="1600"/>
      </w:pPr>
    </w:p>
    <w:p>
      <w:r>
        <w:rPr>
          <w:rFonts w:ascii="Arial" w:cs="Arial" w:eastAsia="Arial" w:hAnsi="Arial"/>
          <w:color w:val="94A3B8"/>
          <w:sz w:val="18"/>
          <w:szCs w:val="18"/>
        </w:rPr>
        <w:t xml:space="preserve">creativefoundryco.com</w:t>
      </w:r>
    </w:p>
    <w:p>
      <w:r>
        <w:rPr>
          <w:rFonts w:ascii="Arial" w:cs="Arial" w:eastAsia="Arial" w:hAnsi="Arial"/>
          <w:i/>
          <w:iCs/>
          <w:color w:val="94A3B8"/>
          <w:sz w:val="16"/>
          <w:szCs w:val="16"/>
        </w:rPr>
        <w:t xml:space="preserve">Confidential</w:t>
      </w:r>
    </w:p>
    <w:p>
      <w:pPr>
        <w:sectPr>
          <w:pgSz w:w="12240" w:h="15840" w:orient="portrait"/>
          <w:pgMar w:top="1440" w:right="1440" w:bottom="1440" w:left="1440" w:header="708" w:footer="708" w:gutter="0"/>
          <w:pgNumType/>
          <w:docGrid w:linePitch="360"/>
        </w:sectPr>
      </w:pPr>
    </w:p>
    <w:p>
      <w:pPr>
        <w:pStyle w:val="Heading1"/>
      </w:pPr>
      <w:r>
        <w:t xml:space="preserve">How to Use This Template</w:t>
      </w:r>
    </w:p>
    <w:p>
      <w:pPr>
        <w:spacing w:after="200"/>
      </w:pPr>
      <w:r>
        <w:rPr>
          <w:color w:val="475569"/>
          <w:sz w:val="22"/>
          <w:szCs w:val="22"/>
        </w:rPr>
        <w:t xml:space="preserve">This audit provides a structured assessment of your revenue operations across three dimensions: People, Process, and Technology. It is designed to move you from subjective opinion to evidence-based prioritization.</w:t>
      </w:r>
    </w:p>
    <w:p>
      <w:pPr>
        <w:spacing w:after="120"/>
      </w:pPr>
      <w:r>
        <w:rPr>
          <w:b/>
          <w:bCs/>
          <w:color w:val="475569"/>
          <w:sz w:val="22"/>
          <w:szCs w:val="22"/>
        </w:rPr>
        <w:t xml:space="preserve">For each of the 45 assessment areas: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475569"/>
          <w:sz w:val="22"/>
          <w:szCs w:val="22"/>
        </w:rPr>
        <w:t xml:space="preserve">Score (1-5) based on the rubric below. Be honest; inflated scores produce useless results.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475569"/>
          <w:sz w:val="22"/>
          <w:szCs w:val="22"/>
        </w:rPr>
        <w:t xml:space="preserve">Reference the "What 5 Looks Like" column for the benchmark standard before scoring.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475569"/>
          <w:sz w:val="22"/>
          <w:szCs w:val="22"/>
        </w:rPr>
        <w:t xml:space="preserve">Document current evidence: what exists today, what data supports your score.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475569"/>
          <w:sz w:val="22"/>
          <w:szCs w:val="22"/>
        </w:rPr>
        <w:t xml:space="preserve">Identify the gap or risk: what is missing, broken, or underperforming.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color w:val="475569"/>
          <w:sz w:val="22"/>
          <w:szCs w:val="22"/>
        </w:rPr>
        <w:t xml:space="preserve">Assign priority (H/M/L) using the Impact vs. Effort framework on the next page.</w:t>
      </w:r>
    </w:p>
    <w:p>
      <w:pPr>
        <w:spacing w:before="300"/>
      </w:pPr>
    </w:p>
    <w:p>
      <w:pPr>
        <w:pStyle w:val="Heading2"/>
      </w:pPr>
      <w:r>
        <w:t xml:space="preserve">Recommended Cadence</w:t>
      </w:r>
    </w:p>
    <w:p>
      <w:pPr>
        <w:spacing w:after="120"/>
      </w:pPr>
      <w:r>
        <w:rPr>
          <w:color w:val="475569"/>
          <w:sz w:val="22"/>
          <w:szCs w:val="22"/>
        </w:rPr>
        <w:t xml:space="preserve">Best practice is to run this audit on a regular schedule aligned to your planning cycles: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2"/>
          <w:szCs w:val="22"/>
        </w:rPr>
        <w:t xml:space="preserve">Full audit (all 45 areas): </w:t>
      </w:r>
      <w:r>
        <w:rPr>
          <w:color w:val="475569"/>
          <w:sz w:val="22"/>
          <w:szCs w:val="22"/>
        </w:rPr>
        <w:t xml:space="preserve">Annually, ideally 4-6 weeks before fiscal year planning begins. This gives leadership time to fund and staff remediation initiatives.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2"/>
          <w:szCs w:val="22"/>
        </w:rPr>
        <w:t xml:space="preserve">Focused re-score (priority gaps only): </w:t>
      </w:r>
      <w:r>
        <w:rPr>
          <w:color w:val="475569"/>
          <w:sz w:val="22"/>
          <w:szCs w:val="22"/>
        </w:rPr>
        <w:t xml:space="preserve">Quarterly, to track progress on remediation items and catch new risks early. Re-score only the areas flagged High priority in your previous audit.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2"/>
          <w:szCs w:val="22"/>
        </w:rPr>
        <w:t xml:space="preserve">Triggered audit: </w:t>
      </w:r>
      <w:r>
        <w:rPr>
          <w:color w:val="475569"/>
          <w:sz w:val="22"/>
          <w:szCs w:val="22"/>
        </w:rPr>
        <w:t xml:space="preserve">After any major change, including a CRM migration, org restructure, M&amp;A integration, or GTM strategy shift. These events invalidate prior scores and require a fresh baseline.</w:t>
      </w:r>
    </w:p>
    <w:p>
      <w:pPr>
        <w:spacing w:after="100" w:before="120"/>
      </w:pPr>
      <w:r>
        <w:rPr>
          <w:i/>
          <w:iCs/>
          <w:color w:val="475569"/>
          <w:sz w:val="22"/>
          <w:szCs w:val="22"/>
        </w:rPr>
        <w:t xml:space="preserve">Retain completed audits for comparison. Tracking score trends over time is one of the most powerful ways to demonstrate RevOps ROI to leadership.</w:t>
      </w:r>
    </w:p>
    <w:p>
      <w:r>
        <w:br w:type="page"/>
      </w:r>
    </w:p>
    <w:p>
      <w:pPr>
        <w:pStyle w:val="Heading1"/>
      </w:pPr>
      <w:r>
        <w:t xml:space="preserve">Scoring Framework</w:t>
      </w:r>
    </w:p>
    <w:p>
      <w:pPr>
        <w:spacing w:after="200"/>
      </w:pPr>
      <w:r>
        <w:rPr>
          <w:color w:val="475569"/>
          <w:sz w:val="22"/>
          <w:szCs w:val="22"/>
        </w:rPr>
        <w:t xml:space="preserve">Use this 5-point scale consistently across all assessment areas. The goal is differentiation, not perfection.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1400"/>
        <w:gridCol w:w="6760"/>
      </w:tblGrid>
      <w:tr>
        <w:trPr>
          <w:tblHeader/>
        </w:trPr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Score</w:t>
            </w:r>
          </w:p>
        </w:tc>
        <w:tc>
          <w:tcPr>
            <w:tcW w:type="dxa" w:w="1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Rating</w:t>
            </w:r>
          </w:p>
        </w:tc>
        <w:tc>
          <w:tcPr>
            <w:tcW w:type="dxa" w:w="6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Definition</w:t>
            </w:r>
          </w:p>
        </w:tc>
      </w:tr>
      <w:tr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CFDF5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59669"/>
                <w:sz w:val="24"/>
                <w:szCs w:val="24"/>
              </w:rPr>
              <w:t xml:space="preserve">5</w:t>
            </w:r>
          </w:p>
        </w:tc>
        <w:tc>
          <w:tcPr>
            <w:tcW w:type="dxa" w:w="1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CFDF5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59669"/>
                <w:sz w:val="20"/>
                <w:szCs w:val="20"/>
              </w:rPr>
              <w:t xml:space="preserve">Optimized</w:t>
            </w:r>
          </w:p>
        </w:tc>
        <w:tc>
          <w:tcPr>
            <w:tcW w:type="dxa" w:w="6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CFDF5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9"/>
                <w:szCs w:val="19"/>
              </w:rPr>
              <w:t xml:space="preserve">Fully implemented, continuously improved, and driving measurable revenue impact. Could be used as an industry example.</w:t>
            </w:r>
          </w:p>
        </w:tc>
      </w:tr>
      <w:tr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059669"/>
                <w:sz w:val="24"/>
                <w:szCs w:val="24"/>
              </w:rPr>
              <w:t xml:space="preserve">4</w:t>
            </w:r>
          </w:p>
        </w:tc>
        <w:tc>
          <w:tcPr>
            <w:tcW w:type="dxa" w:w="1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59669"/>
                <w:sz w:val="20"/>
                <w:szCs w:val="20"/>
              </w:rPr>
              <w:t xml:space="preserve">Strong</w:t>
            </w:r>
          </w:p>
        </w:tc>
        <w:tc>
          <w:tcPr>
            <w:tcW w:type="dxa" w:w="6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9"/>
                <w:szCs w:val="19"/>
              </w:rPr>
              <w:t xml:space="preserve">Implemented and effective with minor gaps. Processes are documented, followed, and produce reliable results.</w:t>
            </w:r>
          </w:p>
        </w:tc>
      </w:tr>
      <w:tr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D97706"/>
                <w:sz w:val="24"/>
                <w:szCs w:val="24"/>
              </w:rPr>
              <w:t xml:space="preserve">3</w:t>
            </w:r>
          </w:p>
        </w:tc>
        <w:tc>
          <w:tcPr>
            <w:tcW w:type="dxa" w:w="1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D97706"/>
                <w:sz w:val="20"/>
                <w:szCs w:val="20"/>
              </w:rPr>
              <w:t xml:space="preserve">Adequate</w:t>
            </w:r>
          </w:p>
        </w:tc>
        <w:tc>
          <w:tcPr>
            <w:tcW w:type="dxa" w:w="6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9"/>
                <w:szCs w:val="19"/>
              </w:rPr>
              <w:t xml:space="preserve">In place but inconsistent. Provides value but has known gaps, workarounds, or reliability issues that limit impact.</w:t>
            </w:r>
          </w:p>
        </w:tc>
      </w:tr>
      <w:tr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D97706"/>
                <w:sz w:val="24"/>
                <w:szCs w:val="24"/>
              </w:rPr>
              <w:t xml:space="preserve">2</w:t>
            </w:r>
          </w:p>
        </w:tc>
        <w:tc>
          <w:tcPr>
            <w:tcW w:type="dxa" w:w="1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D97706"/>
                <w:sz w:val="20"/>
                <w:szCs w:val="20"/>
              </w:rPr>
              <w:t xml:space="preserve">Developing</w:t>
            </w:r>
          </w:p>
        </w:tc>
        <w:tc>
          <w:tcPr>
            <w:tcW w:type="dxa" w:w="6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9"/>
                <w:szCs w:val="19"/>
              </w:rPr>
              <w:t xml:space="preserve">Partially implemented or recently started. Awareness exists but execution is sporadic, undocumented, or dependent on individuals.</w:t>
            </w:r>
          </w:p>
        </w:tc>
      </w:tr>
      <w:tr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EF2F2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DC2626"/>
                <w:sz w:val="24"/>
                <w:szCs w:val="24"/>
              </w:rPr>
              <w:t xml:space="preserve">1</w:t>
            </w:r>
          </w:p>
        </w:tc>
        <w:tc>
          <w:tcPr>
            <w:tcW w:type="dxa" w:w="1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EF2F2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DC2626"/>
                <w:sz w:val="20"/>
                <w:szCs w:val="20"/>
              </w:rPr>
              <w:t xml:space="preserve">Minimal</w:t>
            </w:r>
          </w:p>
        </w:tc>
        <w:tc>
          <w:tcPr>
            <w:tcW w:type="dxa" w:w="6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EF2F2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9"/>
                <w:szCs w:val="19"/>
              </w:rPr>
              <w:t xml:space="preserve">Not implemented or severely broken. Urgent attention needed. The gap is actively causing revenue leakage, inefficiency, or risk.</w:t>
            </w:r>
          </w:p>
        </w:tc>
      </w:tr>
    </w:tbl>
    <w:p>
      <w:pPr>
        <w:spacing w:before="400"/>
      </w:pPr>
    </w:p>
    <w:p>
      <w:pPr>
        <w:pStyle w:val="Heading1"/>
      </w:pPr>
      <w:r>
        <w:t xml:space="preserve">Prioritization Framework</w:t>
      </w:r>
    </w:p>
    <w:p>
      <w:pPr>
        <w:spacing w:after="200"/>
      </w:pPr>
      <w:r>
        <w:rPr>
          <w:color w:val="475569"/>
          <w:sz w:val="22"/>
          <w:szCs w:val="22"/>
        </w:rPr>
        <w:t xml:space="preserve">After scoring, use this Impact vs. Effort matrix to assign priority. This ensures you tackle high-impact, achievable improvements first.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60"/>
        <w:gridCol w:w="2600"/>
        <w:gridCol w:w="2600"/>
        <w:gridCol w:w="2600"/>
      </w:tblGrid>
      <w:tr>
        <w:tc>
          <w:tcPr>
            <w:tcW w:type="dxa" w:w="1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Low Effort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Medium Effort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High Effort</w:t>
            </w:r>
          </w:p>
        </w:tc>
      </w:tr>
      <w:tr>
        <w:tc>
          <w:tcPr>
            <w:tcW w:type="dxa" w:w="1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High Impact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CFDF5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59669"/>
                <w:sz w:val="20"/>
                <w:szCs w:val="20"/>
              </w:rPr>
              <w:t xml:space="preserve">H - Quick Wins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Do these first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20"/>
                <w:szCs w:val="20"/>
              </w:rPr>
              <w:t xml:space="preserve">H - Strategic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Plan and resource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BEB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D97706"/>
                <w:sz w:val="20"/>
                <w:szCs w:val="20"/>
              </w:rPr>
              <w:t xml:space="preserve">M - Major Projects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Build the case first</w:t>
            </w:r>
          </w:p>
        </w:tc>
      </w:tr>
      <w:tr>
        <w:tc>
          <w:tcPr>
            <w:tcW w:type="dxa" w:w="1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Medium Impact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CFDF5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059669"/>
                <w:sz w:val="20"/>
                <w:szCs w:val="20"/>
              </w:rPr>
              <w:t xml:space="preserve">M - Easy Wins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Batch with quick wins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475569"/>
                <w:sz w:val="20"/>
                <w:szCs w:val="20"/>
              </w:rPr>
              <w:t xml:space="preserve">M - Planned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Schedule for next quarter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94A3B8"/>
                <w:sz w:val="20"/>
                <w:szCs w:val="20"/>
              </w:rPr>
              <w:t xml:space="preserve">L - Defer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Backlog unless strategic</w:t>
            </w:r>
          </w:p>
        </w:tc>
      </w:tr>
      <w:tr>
        <w:tc>
          <w:tcPr>
            <w:tcW w:type="dxa" w:w="1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Low Impact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475569"/>
                <w:sz w:val="20"/>
                <w:szCs w:val="20"/>
              </w:rPr>
              <w:t xml:space="preserve">L - If Time Allows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Opportunistic only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94A3B8"/>
                <w:sz w:val="20"/>
                <w:szCs w:val="20"/>
              </w:rPr>
              <w:t xml:space="preserve">L - Skip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Not worth the effort</w:t>
            </w:r>
          </w:p>
        </w:tc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94A3B8"/>
                <w:sz w:val="20"/>
                <w:szCs w:val="20"/>
              </w:rPr>
              <w:t xml:space="preserve">L - Skip</w:t>
            </w:r>
            <w:r>
              <w:rPr>
                <w:rFonts w:ascii="Arial" w:cs="Arial" w:eastAsia="Arial" w:hAnsi="Arial"/>
                <w:color w:val="94A3B8"/>
                <w:sz w:val="17"/>
                <w:szCs w:val="17"/>
              </w:rPr>
              <w:t xml:space="preserve">
Not worth the effort</w:t>
            </w:r>
          </w:p>
        </w:tc>
      </w:tr>
    </w:tbl>
    <w:p>
      <w:r>
        <w:br w:type="page"/>
      </w:r>
    </w:p>
    <w:p>
      <w:pPr>
        <w:pStyle w:val="Heading1"/>
      </w:pPr>
      <w:r>
        <w:t xml:space="preserve">Section 1: People</w:t>
      </w:r>
    </w:p>
    <w:p>
      <w:pPr>
        <w:pStyle w:val="Heading2"/>
      </w:pPr>
      <w:r>
        <w:t xml:space="preserve">1.1 Role Clarity &amp; Coverage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Defined RevOps roles across Marketing, Sales, and CS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Dedicated RevOps lead with dotted-line to each revenue team; RACI documented for every major process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Clear ownership of data, tools, and handoff processes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Single owner per system/process; documented in a living operations manual updated quarterly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Adequate headcount for current revenue scale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1 ops FTE per 50-75 reps (Forrester); ops-to-revenue ratio reviewed at each planning cycle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Skills aligned to tech stack and process requirements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Annual skills assessment; 90%+ team certified on primary platforms (HubSpot, SFDC, etc.)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Succession planning and cross-training in place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At least 2 people can run each critical process; documented runbooks for all key systems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pPr>
        <w:pStyle w:val="Heading2"/>
      </w:pPr>
      <w:r>
        <w:t xml:space="preserve">1.2 Alignment &amp; Communication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Regular cross-functional revenue meetings established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Weekly revenue standup with marketing, sales, CS leads; quarterly business reviews with exec team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Shared KPIs across marketing, sales, and CS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Unified dashboard with 5-7 shared metrics (pipeline velocity, CAC, NRR, win rate, etc.)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Escalation paths documented and followed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Written escalation matrix with response SLAs; reviewed and updated quarterly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Leadership alignment on revenue priorities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Documented revenue plan signed by all GTM leaders; priorities cascade to team-level OKRs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Feedback loops between teams are active and acted on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Structured win/loss reviews monthly; CS-to-product feedback loop with SLA on response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pPr>
        <w:pStyle w:val="Heading2"/>
      </w:pPr>
      <w:r>
        <w:t xml:space="preserve">1.3 Enablement &amp; Development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Onboarding program for revenue team roles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30/60/90-day onboarding with certification gates; reps productive within one ramp period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Ongoing training on tools and processes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Quarterly training sessions; adoption metrics tracked per tool; refresher on process changes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Playbooks and SOPs are current and accessible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Central playbook library (Notion/Confluence); version-controlled; last update within 90 days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Performance metrics tied to revenue outcomes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Comp plans directly tie to pipeline and revenue KPIs; ops bonuses tied to system adoption rates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Career paths defined for ops roles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Published IC and management tracks for ops; annual development conversations documented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r>
        <w:br w:type="page"/>
      </w:r>
    </w:p>
    <w:p>
      <w:pPr>
        <w:pStyle w:val="Heading1"/>
      </w:pPr>
      <w:r>
        <w:t xml:space="preserve">Section 2: Process</w:t>
      </w:r>
    </w:p>
    <w:p>
      <w:pPr>
        <w:pStyle w:val="Heading2"/>
      </w:pPr>
      <w:r>
        <w:t xml:space="preserve">2.1 Lead Management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Lead scoring model defined and maintained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Behavioral + firmographic scoring; model reviewed quarterly with conversion data; A/B tested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MQL to SQL handoff criteria documented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Written criteria with examples; shared training for both teams; no subjective overrides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SLA between marketing and sales enforced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Published SLA (e.g., 4-hr follow-up); automated alerts on SLA breach; monthly compliance report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Lead routing rules automated and accurate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Rules engine with round-robin/territory logic; &lt;5 min assignment; &lt;2% misroute rate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Recycling and nurture paths for non-ready leads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Automated 90-day nurture sequences; re-engagement triggers; recycled leads re-enter scoring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pPr>
        <w:pStyle w:val="Heading2"/>
      </w:pPr>
      <w:r>
        <w:t xml:space="preserve">2.2 Pipeline &amp; Forecasting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Stage definitions consistent and enforced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Written stage definitions with observable buyer actions; validation rules prevent skipping stages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Exit criteria required to advance deals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Mandatory fields per stage (e.g., champion identified, technical validation); system-enforced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Forecast methodology documented and followed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Weighted + judgment hybrid; commit/best-case/upside categories; &lt;10% forecast variance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Pipeline coverage targets set and tracked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3x+ coverage at start of quarter; tracked weekly by segment; coverage gaps trigger action plans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Win/loss analysis conducted regularly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Structured interviews within 30 days of close; themes aggregated quarterly; fed to product/enablement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pPr>
        <w:pStyle w:val="Heading2"/>
      </w:pPr>
      <w:r>
        <w:t xml:space="preserve">2.3 Customer Lifecycle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Onboarding process standardized and measured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Defined milestones with time-to-value target (e.g., &lt;30 days); automated check-ins at each gate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Health scoring implemented and actionable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Multi-signal health score (usage, support, NPS, engagement); red accounts trigger playbook within 48hrs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Renewal process starts 90+ days out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Automated renewal workflow at T-120 days; QBR at T-90; commercial discussion at T-60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Expansion triggers identified and acted on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Usage-based triggers (e.g., seat utilization &gt;80%); CS-to-sales handoff with expansion playbook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Churn analysis feeds product and sales strategy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Quarterly churn cohort analysis; top 3 reasons shared with product; saves/deflections tracked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r>
        <w:br w:type="page"/>
      </w:r>
    </w:p>
    <w:p>
      <w:pPr>
        <w:pStyle w:val="Heading1"/>
      </w:pPr>
      <w:r>
        <w:t xml:space="preserve">Section 3: Technology</w:t>
      </w:r>
    </w:p>
    <w:p>
      <w:pPr>
        <w:pStyle w:val="Heading2"/>
      </w:pPr>
      <w:r>
        <w:t xml:space="preserve">3.1 CRM Health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Data hygiene processes automated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Automated dedup, enrichment, and decay rules; data quality score &gt;90%; monthly hygiene report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Field usage audited quarterly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Field utilization report quarterly; unused fields archived; &lt;100 active custom fields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Integration points documented and monitored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Integration map with data flow directions; error monitoring with alerts; &lt;1% sync failure rate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Adoption rates tracked by team and role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Weekly login and activity metrics by team; &gt;85% daily active usage; adoption tied to enablement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Customizations documented and maintained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All custom objects, workflows, and automations documented; change log maintained; annual review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pPr>
        <w:pStyle w:val="Heading2"/>
      </w:pPr>
      <w:r>
        <w:t xml:space="preserve">3.2 Tech Stack Efficiency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Full inventory of revenue tools maintained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Living tool inventory with owner, cost, renewal date, and business justification per tool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Overlapping functionality identified and resolved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Annual overlap audit; consolidation plan for redundant tools; savings tracked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Utilization rates measured per tool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License utilization &gt;75% across all tools; quarterly usage review; unused licenses reclaimed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Total cost of ownership calculated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TCO includes license + implementation + training + maintenance; cost-per-user benchmarked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Integration architecture documented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Visual integration architecture diagram; API vs. native connectors documented; single source of truth identified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pPr>
        <w:pStyle w:val="Heading2"/>
      </w:pPr>
      <w:r>
        <w:t xml:space="preserve">3.3 Reporting &amp; Analytics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560"/>
        <w:gridCol w:w="2400"/>
        <w:gridCol w:w="1900"/>
        <w:gridCol w:w="1200"/>
        <w:gridCol w:w="700"/>
      </w:tblGrid>
      <w:tr>
        <w:trPr>
          <w:tblHeader/>
        </w:trP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Assessment Area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Score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What "5" Looks Like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Current Evidence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Risk</w:t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Single source of truth for revenue metrics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One system of record with documented calculation logic; no competing spreadsheets; exec trust &gt;90%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Dashboards aligned to business questions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Dashboard hierarchy: exec summary, team performance, individual rep; each answers 3-5 key questions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Data latency meets decision-making needs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Real-time or &lt;4hr refresh for pipeline data; daily for marketing metrics; weekly for financial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Self-serve reporting available to stakeholders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Business users can build basic reports without ops help; training provided; templates available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7"/>
                <w:szCs w:val="17"/>
              </w:rPr>
              <w:t xml:space="preserve">Attribution model implemented and trusted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6"/>
                <w:szCs w:val="16"/>
              </w:rPr>
              <w:t xml:space="preserve">Multi-touch attribution model documented; marketing and sales agree on methodology; reviewed quarterly</w:t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2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SUBTOTAL</w:t>
            </w:r>
          </w:p>
        </w:tc>
        <w:tc>
          <w:tcPr>
            <w:tcW w:type="dxa" w:w="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17"/>
                <w:szCs w:val="17"/>
              </w:rPr>
              <w:t xml:space="preserve">/ 25</w:t>
            </w:r>
          </w:p>
        </w:tc>
        <w:tc>
          <w:tcPr>
            <w:tcW w:type="dxa" w:w="2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9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7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</w:tbl>
    <w:p>
      <w:pPr>
        <w:spacing w:after="200"/>
      </w:pPr>
    </w:p>
    <w:p>
      <w:r>
        <w:br w:type="page"/>
      </w:r>
    </w:p>
    <w:p>
      <w:pPr>
        <w:pStyle w:val="Heading1"/>
      </w:pPr>
      <w:r>
        <w:t xml:space="preserve">Executive Summary</w:t>
      </w:r>
    </w:p>
    <w:p>
      <w:pPr>
        <w:spacing w:after="200"/>
      </w:pPr>
      <w:r>
        <w:rPr>
          <w:i/>
          <w:iCs/>
          <w:color w:val="475569"/>
          <w:sz w:val="22"/>
          <w:szCs w:val="22"/>
        </w:rPr>
        <w:t xml:space="preserve">Complete this section after scoring all 45 assessment areas. This is the page leadership will read first.</w:t>
      </w:r>
    </w:p>
    <w:p>
      <w:pPr>
        <w:pStyle w:val="Heading2"/>
      </w:pPr>
      <w:r>
        <w:t xml:space="preserve">Score Summary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1500"/>
        <w:gridCol w:w="1500"/>
        <w:gridCol w:w="1760"/>
        <w:gridCol w:w="1800"/>
      </w:tblGrid>
      <w:tr>
        <w:trPr>
          <w:tblHeader/>
        </w:trP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Section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Your Score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Max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Percentage</w:t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Health</w:t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1. People: Role Clarity &amp; Coverage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2. People: Alignment &amp; Communication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3. People: Enablement &amp; Development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4. Process: Lead Management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5. Process: Pipeline &amp; Forecasting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6. Process: Customer Lifecycle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7. Technology: CRM Health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8. Technology: Tech Stack Efficiency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0F172A"/>
                <w:sz w:val="18"/>
                <w:szCs w:val="18"/>
              </w:rPr>
              <w:t xml:space="preserve">9. Technology: Reporting &amp; Analytics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8"/>
                <w:szCs w:val="18"/>
              </w:rPr>
              <w:t xml:space="preserve">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312E81"/>
                <w:sz w:val="20"/>
                <w:szCs w:val="20"/>
              </w:rPr>
              <w:t xml:space="preserve">TOTAL</w:t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75569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312E81"/>
                <w:sz w:val="20"/>
                <w:szCs w:val="20"/>
              </w:rPr>
              <w:t xml:space="preserve">225</w:t>
            </w:r>
          </w:p>
        </w:tc>
        <w:tc>
          <w:tcPr>
            <w:tcW w:type="dxa" w:w="17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75569"/>
                <w:sz w:val="20"/>
                <w:szCs w:val="20"/>
              </w:rPr>
              <w:t xml:space="preserve"/>
            </w:r>
          </w:p>
        </w:tc>
        <w:tc>
          <w:tcPr>
            <w:tcW w:type="dxa" w:w="18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EEF2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475569"/>
                <w:sz w:val="20"/>
                <w:szCs w:val="20"/>
              </w:rPr>
              <w:t xml:space="preserve"/>
            </w:r>
          </w:p>
        </w:tc>
      </w:tr>
    </w:tbl>
    <w:p>
      <w:pPr>
        <w:spacing w:after="100" w:before="200"/>
      </w:pPr>
      <w:r>
        <w:rPr>
          <w:b/>
          <w:bCs/>
          <w:color w:val="0F172A"/>
          <w:sz w:val="18"/>
          <w:szCs w:val="18"/>
        </w:rPr>
        <w:t xml:space="preserve">Health Key:  </w:t>
      </w:r>
      <w:r>
        <w:rPr>
          <w:color w:val="059669"/>
          <w:sz w:val="18"/>
          <w:szCs w:val="18"/>
        </w:rPr>
        <w:t xml:space="preserve">80-100% = Strong  </w:t>
      </w:r>
      <w:r>
        <w:rPr>
          <w:color w:val="D97706"/>
          <w:sz w:val="18"/>
          <w:szCs w:val="18"/>
        </w:rPr>
        <w:t xml:space="preserve">|  60-79% = Needs Attention  </w:t>
      </w:r>
      <w:r>
        <w:rPr>
          <w:color w:val="DC2626"/>
          <w:sz w:val="18"/>
          <w:szCs w:val="18"/>
        </w:rPr>
        <w:t xml:space="preserve">|  Below 60% = At Risk</w:t>
      </w:r>
    </w:p>
    <w:p>
      <w:pPr>
        <w:spacing w:before="300"/>
      </w:pPr>
    </w:p>
    <w:p>
      <w:pPr>
        <w:pStyle w:val="Heading2"/>
      </w:pPr>
      <w:r>
        <w:t xml:space="preserve">Key Findings</w:t>
      </w:r>
    </w:p>
    <w:p>
      <w:pPr>
        <w:spacing w:after="100"/>
      </w:pPr>
      <w:r>
        <w:rPr>
          <w:i/>
          <w:iCs/>
          <w:color w:val="94A3B8"/>
          <w:sz w:val="22"/>
          <w:szCs w:val="22"/>
        </w:rPr>
        <w:t xml:space="preserve">[Summarize the 3-5 most significant findings from the audit. What are the biggest revenue risks? Where are the most impactful opportunities? What surprised you?]</w:t>
      </w:r>
    </w:p>
    <w:p>
      <w:pPr>
        <w:spacing w:after="200"/>
      </w:pPr>
    </w:p>
    <w:p>
      <w:pPr>
        <w:pStyle w:val="Heading2"/>
      </w:pPr>
      <w:r>
        <w:t xml:space="preserve">Top Strengths</w:t>
      </w:r>
    </w:p>
    <w:p>
      <w:pPr>
        <w:spacing w:after="100"/>
      </w:pPr>
      <w:r>
        <w:rPr>
          <w:i/>
          <w:iCs/>
          <w:color w:val="94A3B8"/>
          <w:sz w:val="22"/>
          <w:szCs w:val="22"/>
        </w:rPr>
        <w:t xml:space="preserve">[List 3-5 areas scoring 4-5. These are assets to protect and build on.]</w:t>
      </w:r>
    </w:p>
    <w:p>
      <w:pPr>
        <w:spacing w:after="200"/>
      </w:pPr>
    </w:p>
    <w:p>
      <w:pPr>
        <w:pStyle w:val="Heading2"/>
      </w:pPr>
      <w:r>
        <w:t xml:space="preserve">Critical Gaps</w:t>
      </w:r>
    </w:p>
    <w:p>
      <w:pPr>
        <w:spacing w:after="100"/>
      </w:pPr>
      <w:r>
        <w:rPr>
          <w:i/>
          <w:iCs/>
          <w:color w:val="94A3B8"/>
          <w:sz w:val="22"/>
          <w:szCs w:val="22"/>
        </w:rPr>
        <w:t xml:space="preserve">[List areas scoring 1-2 with the highest revenue impact. These are the urgent priorities.]</w:t>
      </w:r>
    </w:p>
    <w:p>
      <w:r>
        <w:br w:type="page"/>
      </w:r>
    </w:p>
    <w:p>
      <w:pPr>
        <w:pStyle w:val="Heading1"/>
      </w:pPr>
      <w:r>
        <w:t xml:space="preserve">Remediation Roadmap</w:t>
      </w:r>
    </w:p>
    <w:p>
      <w:pPr>
        <w:spacing w:after="200"/>
      </w:pPr>
      <w:r>
        <w:rPr>
          <w:color w:val="475569"/>
          <w:sz w:val="22"/>
          <w:szCs w:val="22"/>
        </w:rPr>
        <w:t xml:space="preserve">Prioritize based on the Impact vs. Effort framework. Start with High-priority quick wins, then move to strategic initiatives.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00"/>
        <w:gridCol w:w="1600"/>
        <w:gridCol w:w="2560"/>
        <w:gridCol w:w="1600"/>
        <w:gridCol w:w="1200"/>
        <w:gridCol w:w="1000"/>
        <w:gridCol w:w="1000"/>
      </w:tblGrid>
      <w:tr>
        <w:trPr>
          <w:tblHeader/>
        </w:trP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#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Gap / Issue</w:t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Recommended Action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Section Ref</w:t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Owner</w:t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Priority</w:t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312E81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Target</w:t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1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2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3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4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5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6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7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8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9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10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11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  <w:tr>
        <w:tc>
          <w:tcPr>
            <w:tcW w:type="dxa" w:w="4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94A3B8"/>
                <w:sz w:val="17"/>
                <w:szCs w:val="17"/>
              </w:rPr>
              <w:t xml:space="preserve">12</w:t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256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6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2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  <w:tc>
          <w:tcPr>
            <w:tcW w:type="dxa" w:w="1000"/>
            <w:tcBorders>
              <w:top w:val="single" w:color="E2E8F0" w:sz="1"/>
              <w:left w:val="single" w:color="E2E8F0" w:sz="1"/>
              <w:bottom w:val="single" w:color="E2E8F0" w:sz="1"/>
              <w:right w:val="single" w:color="E2E8F0" w:sz="1"/>
            </w:tcBorders>
            <w:shd w:fill="F8FAFC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b w:val="false"/>
                <w:bCs w:val="false"/>
                <w:color w:val="475569"/>
                <w:sz w:val="17"/>
                <w:szCs w:val="17"/>
              </w:rPr>
              <w:t xml:space="preserve"/>
            </w:r>
          </w:p>
        </w:tc>
      </w:tr>
    </w:tbl>
    <w:p>
      <w:r>
        <w:br w:type="page"/>
      </w:r>
    </w:p>
    <w:p>
      <w:pPr>
        <w:pStyle w:val="Heading1"/>
      </w:pPr>
      <w:r>
        <w:t xml:space="preserve">Appendix: Benchmark References</w:t>
      </w:r>
    </w:p>
    <w:p>
      <w:pPr>
        <w:spacing w:after="200"/>
      </w:pPr>
      <w:r>
        <w:rPr>
          <w:color w:val="475569"/>
          <w:sz w:val="22"/>
          <w:szCs w:val="22"/>
        </w:rPr>
        <w:t xml:space="preserve">The benchmarks in this audit are drawn from the following published research. Use these sources to validate scores and calibrate expectations for your industry and company size.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Gartner: </w:t>
      </w:r>
      <w:r>
        <w:rPr>
          <w:color w:val="475569"/>
          <w:sz w:val="21"/>
          <w:szCs w:val="21"/>
        </w:rPr>
        <w:t xml:space="preserve">Revenue operations benchmarks for B2B technology companies; organizational design frameworks for GTM operations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Forrester: </w:t>
      </w:r>
      <w:r>
        <w:rPr>
          <w:color w:val="475569"/>
          <w:sz w:val="21"/>
          <w:szCs w:val="21"/>
        </w:rPr>
        <w:t xml:space="preserve">Revenue operations maturity model; ops-to-revenue staffing ratios; process automation benchmarks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HubSpot State of Sales/Marketing: </w:t>
      </w:r>
      <w:r>
        <w:rPr>
          <w:color w:val="475569"/>
          <w:sz w:val="21"/>
          <w:szCs w:val="21"/>
        </w:rPr>
        <w:t xml:space="preserve">CRM adoption rates, lead response time benchmarks, pipeline coverage standards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Bridge Group: </w:t>
      </w:r>
      <w:r>
        <w:rPr>
          <w:color w:val="475569"/>
          <w:sz w:val="21"/>
          <w:szCs w:val="21"/>
        </w:rPr>
        <w:t xml:space="preserve">SDR and AE productivity benchmarks; ramp time data; sales development metrics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OpenView Partners: </w:t>
      </w:r>
      <w:r>
        <w:rPr>
          <w:color w:val="475569"/>
          <w:sz w:val="21"/>
          <w:szCs w:val="21"/>
        </w:rPr>
        <w:t xml:space="preserve">SaaS operational benchmarks; product-led growth metrics; expansion revenue benchmarks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SiriusDecisions / Forrester SiriusDecisions: </w:t>
      </w:r>
      <w:r>
        <w:rPr>
          <w:color w:val="475569"/>
          <w:sz w:val="21"/>
          <w:szCs w:val="21"/>
        </w:rPr>
        <w:t xml:space="preserve">Demand waterfall model; lead management framework; marketing-to-sales alignment benchmarks</w:t>
      </w:r>
    </w:p>
    <w:p>
      <w:pPr>
        <w:pStyle w:val="ListParagraph"/>
        <w:numPr>
          <w:ilvl w:val="0"/>
          <w:numId w:val="3"/>
        </w:numPr>
        <w:spacing w:after="100"/>
      </w:pPr>
      <w:r>
        <w:rPr>
          <w:b/>
          <w:bCs/>
          <w:color w:val="0F172A"/>
          <w:sz w:val="21"/>
          <w:szCs w:val="21"/>
        </w:rPr>
        <w:t xml:space="preserve">TOPO / Gartner for Sales Leaders: </w:t>
      </w:r>
      <w:r>
        <w:rPr>
          <w:color w:val="475569"/>
          <w:sz w:val="21"/>
          <w:szCs w:val="21"/>
        </w:rPr>
        <w:t xml:space="preserve">Sales development process benchmarks; territory design frameworks; forecast accuracy standards</w:t>
      </w:r>
    </w:p>
    <w:p>
      <w:pPr>
        <w:spacing w:before="400"/>
      </w:pPr>
    </w:p>
    <w:p>
      <w:pPr>
        <w:pBdr>
          <w:top w:val="single" w:color="E2E8F0" w:sz="1" w:space="8"/>
        </w:pBdr>
        <w:spacing w:before="200"/>
        <w:jc w:val="center"/>
      </w:pPr>
      <w:r>
        <w:rPr>
          <w:b/>
          <w:bCs/>
          <w:color w:val="0F172A"/>
          <w:sz w:val="22"/>
          <w:szCs w:val="22"/>
        </w:rPr>
        <w:t xml:space="preserve">Need help interpreting your results or building a remediation plan?</w:t>
      </w:r>
    </w:p>
    <w:p>
      <w:pPr>
        <w:spacing w:after="100"/>
        <w:jc w:val="center"/>
      </w:pPr>
      <w:hyperlink w:history="1" r:id="rId0tvkvi8wkspc5-x_acgni">
        <w:r>
          <w:rPr>
            <w:rStyle w:val="Hyperlink"/>
            <w:sz w:val="22"/>
            <w:szCs w:val="22"/>
          </w:rPr>
          <w:t xml:space="preserve">Schedule a consultation at creativefoundryco.com/contact</w:t>
        </w:r>
      </w:hyperlink>
    </w:p>
    <w:p>
      <w:pPr>
        <w:jc w:val="center"/>
      </w:pPr>
      <w:r>
        <w:rPr>
          <w:color w:val="94A3B8"/>
          <w:sz w:val="16"/>
          <w:szCs w:val="16"/>
        </w:rPr>
        <w:t xml:space="preserve">© 2026 Creative Foundry Co. All rights reserved.</w:t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E2E8F0" w:sz="1" w:space="4"/>
      </w:pBdr>
      <w:tabs>
        <w:tab w:val="right" w:pos="9026"/>
      </w:tabs>
    </w:pPr>
    <w:r>
      <w:rPr>
        <w:rFonts w:ascii="Arial" w:cs="Arial" w:eastAsia="Arial" w:hAnsi="Arial"/>
        <w:color w:val="94A3B8"/>
        <w:sz w:val="14"/>
        <w:szCs w:val="14"/>
      </w:rPr>
      <w:t xml:space="preserve">creativefoundryco.com</w:t>
    </w:r>
    <w:r>
      <w:t xml:space="preserve">	Page </w:t>
    </w:r>
    <w:r>
      <w:rPr>
        <w:rFonts w:ascii="Arial" w:cs="Arial" w:eastAsia="Arial" w:hAnsi="Arial"/>
        <w:color w:val="94A3B8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Arial" w:cs="Arial" w:eastAsia="Arial" w:hAnsi="Arial"/>
        <w:color w:val="94A3B8"/>
        <w:sz w:val="16"/>
        <w:szCs w:val="16"/>
      </w:rPr>
      <w:t xml:space="preserve">Creative Foundry Co.  |  RevOps Audit Template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475569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00" w:before="360"/>
      <w:outlineLvl w:val="0"/>
    </w:pPr>
    <w:rPr>
      <w:rFonts w:ascii="Arial" w:cs="Arial" w:eastAsia="Arial" w:hAnsi="Arial"/>
      <w:b/>
      <w:bCs/>
      <w:color w:val="312E81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60" w:before="280"/>
      <w:outlineLvl w:val="1"/>
    </w:pPr>
    <w:rPr>
      <w:rFonts w:ascii="Arial" w:cs="Arial" w:eastAsia="Arial" w:hAnsi="Arial"/>
      <w:b/>
      <w:bCs/>
      <w:color w:val="0F172A"/>
      <w:sz w:val="28"/>
      <w:szCs w:val="28"/>
    </w:rPr>
  </w:style>
  <w:style w:type="paragraph" w:styleId="Heading3">
    <w:name w:val="Heading 3"/>
    <w:basedOn w:val="Normal"/>
    <w:next w:val="Normal"/>
    <w:qFormat/>
    <w:pPr>
      <w:spacing w:after="120" w:before="200"/>
      <w:outlineLvl w:val="2"/>
    </w:pPr>
    <w:rPr>
      <w:rFonts w:ascii="Arial" w:cs="Arial" w:eastAsia="Arial" w:hAnsi="Arial"/>
      <w:b/>
      <w:bCs/>
      <w:color w:val="4338CA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0tvkvi8wkspc5-x_acgni" Type="http://schemas.openxmlformats.org/officeDocument/2006/relationships/hyperlink" Target="https://creativefoundryco.com/contact/" TargetMode="External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2026-04-28T00:20:30.681Z</dcterms:created>
  <dcterms:modified xsi:type="dcterms:W3CDTF">2026-04-28T00:20:30.681Z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